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CC6C" w14:textId="77777777" w:rsidR="00EA2143" w:rsidRPr="00EA2143" w:rsidRDefault="00EA2143" w:rsidP="00EA214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2143">
        <w:rPr>
          <w:rFonts w:ascii="Times New Roman" w:hAnsi="Times New Roman" w:cs="Times New Roman"/>
          <w:sz w:val="22"/>
          <w:szCs w:val="22"/>
        </w:rPr>
        <w:t xml:space="preserve">Bu anket Ordu Üniversitesi Diş Hekimliği Fakültesi Birim Kalite Komisyonu tarafından geliştirilmiştir. Anket eğitim ve öğretim hizmetlerinin kalitesini artırmak için öğrencilerimizin/mezunlarımızın görüş ve düşüncelerini öğrenmek amacıyla yapılmaktadır. Değerlendirmenizi yapmak için 5’li </w:t>
      </w:r>
      <w:proofErr w:type="spellStart"/>
      <w:r w:rsidRPr="00EA2143">
        <w:rPr>
          <w:rFonts w:ascii="Times New Roman" w:hAnsi="Times New Roman" w:cs="Times New Roman"/>
          <w:sz w:val="22"/>
          <w:szCs w:val="22"/>
        </w:rPr>
        <w:t>Likert</w:t>
      </w:r>
      <w:proofErr w:type="spellEnd"/>
      <w:r w:rsidRPr="00EA2143">
        <w:rPr>
          <w:rFonts w:ascii="Times New Roman" w:hAnsi="Times New Roman" w:cs="Times New Roman"/>
          <w:sz w:val="22"/>
          <w:szCs w:val="22"/>
        </w:rPr>
        <w:t xml:space="preserve"> kullanılacaktır. Lütfen maddeleri katkı düzeyini dikkate alacak şekilde işaretleyiniz. Anketi doldurmadan önce güncel müfredatımız hakkında detaylı bilgiye Fakültemizin Bilgi Paketini inceleyerek ulaşabilirsiniz.</w:t>
      </w:r>
    </w:p>
    <w:p w14:paraId="27D9FC17" w14:textId="77777777" w:rsidR="00EA2143" w:rsidRPr="00EA2143" w:rsidRDefault="00EA2143" w:rsidP="00EA214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2143">
        <w:rPr>
          <w:rFonts w:ascii="Times New Roman" w:hAnsi="Times New Roman" w:cs="Times New Roman"/>
          <w:sz w:val="22"/>
          <w:szCs w:val="22"/>
        </w:rPr>
        <w:t xml:space="preserve">Ankette kişisel mahremiyetin korunması esastır. </w:t>
      </w:r>
    </w:p>
    <w:p w14:paraId="70A8C250" w14:textId="77777777" w:rsidR="004B0A87" w:rsidRDefault="00EA2143" w:rsidP="00BD15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2143">
        <w:rPr>
          <w:rFonts w:ascii="Times New Roman" w:hAnsi="Times New Roman" w:cs="Times New Roman"/>
          <w:sz w:val="22"/>
          <w:szCs w:val="22"/>
        </w:rPr>
        <w:t>Katılımınız ve desteğiniz için teşekkür ederiz.</w:t>
      </w:r>
    </w:p>
    <w:p w14:paraId="15336D9A" w14:textId="77777777" w:rsidR="00BD15D0" w:rsidRPr="00BD15D0" w:rsidRDefault="00BD15D0" w:rsidP="00BD15D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64"/>
        <w:gridCol w:w="1561"/>
        <w:gridCol w:w="1561"/>
        <w:gridCol w:w="1292"/>
        <w:gridCol w:w="1378"/>
        <w:gridCol w:w="1378"/>
      </w:tblGrid>
      <w:tr w:rsidR="007E7A03" w:rsidRPr="005A1CC4" w14:paraId="3890C91C" w14:textId="77777777" w:rsidTr="005A1CC4">
        <w:tc>
          <w:tcPr>
            <w:tcW w:w="9634" w:type="dxa"/>
            <w:gridSpan w:val="6"/>
          </w:tcPr>
          <w:p w14:paraId="71006E3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1CC4">
              <w:rPr>
                <w:rFonts w:ascii="Times New Roman" w:hAnsi="Times New Roman" w:cs="Times New Roman"/>
                <w:b/>
              </w:rPr>
              <w:t>GENEL MÜFREDAT DEĞERLENDİRMESİ</w:t>
            </w:r>
          </w:p>
        </w:tc>
      </w:tr>
      <w:tr w:rsidR="007E7A03" w:rsidRPr="005A1CC4" w14:paraId="3E66E2C3" w14:textId="77777777" w:rsidTr="005A1CC4">
        <w:tc>
          <w:tcPr>
            <w:tcW w:w="9634" w:type="dxa"/>
            <w:gridSpan w:val="6"/>
          </w:tcPr>
          <w:p w14:paraId="258019B4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63131FDB" w14:textId="77777777" w:rsidTr="00BD15D0">
        <w:tc>
          <w:tcPr>
            <w:tcW w:w="2464" w:type="dxa"/>
          </w:tcPr>
          <w:p w14:paraId="0C161A8D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vAlign w:val="center"/>
          </w:tcPr>
          <w:p w14:paraId="4705402E" w14:textId="77777777" w:rsidR="007E7A03" w:rsidRPr="005A1CC4" w:rsidRDefault="004B0A87" w:rsidP="00BD1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Kesinlikle </w:t>
            </w:r>
            <w:r w:rsidR="007E7A03" w:rsidRPr="005A1CC4">
              <w:rPr>
                <w:rFonts w:ascii="Times New Roman" w:hAnsi="Times New Roman" w:cs="Times New Roman"/>
                <w:b/>
              </w:rPr>
              <w:t>Katılmıyorum</w:t>
            </w:r>
          </w:p>
        </w:tc>
        <w:tc>
          <w:tcPr>
            <w:tcW w:w="1561" w:type="dxa"/>
            <w:vAlign w:val="center"/>
          </w:tcPr>
          <w:p w14:paraId="2F7BFDF4" w14:textId="77777777" w:rsidR="007E7A03" w:rsidRPr="005A1CC4" w:rsidRDefault="007E7A03" w:rsidP="00BD1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</w:rPr>
              <w:t>Katılmıyorum</w:t>
            </w:r>
          </w:p>
        </w:tc>
        <w:tc>
          <w:tcPr>
            <w:tcW w:w="1292" w:type="dxa"/>
            <w:vAlign w:val="center"/>
          </w:tcPr>
          <w:p w14:paraId="42CA39EE" w14:textId="77777777" w:rsidR="007E7A03" w:rsidRPr="005A1CC4" w:rsidRDefault="007E7A03" w:rsidP="00BD1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</w:rPr>
              <w:t>Kararsızım</w:t>
            </w:r>
          </w:p>
        </w:tc>
        <w:tc>
          <w:tcPr>
            <w:tcW w:w="1378" w:type="dxa"/>
            <w:vAlign w:val="center"/>
          </w:tcPr>
          <w:p w14:paraId="631D3374" w14:textId="77777777" w:rsidR="007E7A03" w:rsidRPr="005A1CC4" w:rsidRDefault="007E7A03" w:rsidP="00BD1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</w:rPr>
              <w:t>Katılıyorum</w:t>
            </w:r>
          </w:p>
        </w:tc>
        <w:tc>
          <w:tcPr>
            <w:tcW w:w="1378" w:type="dxa"/>
            <w:vAlign w:val="center"/>
          </w:tcPr>
          <w:p w14:paraId="724BDABB" w14:textId="77777777" w:rsidR="007E7A03" w:rsidRPr="005A1CC4" w:rsidRDefault="004B0A87" w:rsidP="00BD1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Kesinlikle</w:t>
            </w:r>
            <w:r w:rsidR="007E7A03" w:rsidRPr="005A1CC4">
              <w:rPr>
                <w:rFonts w:ascii="Times New Roman" w:hAnsi="Times New Roman" w:cs="Times New Roman"/>
                <w:b/>
              </w:rPr>
              <w:t xml:space="preserve"> Katılıyorum</w:t>
            </w:r>
          </w:p>
        </w:tc>
      </w:tr>
      <w:tr w:rsidR="007E7A03" w:rsidRPr="005A1CC4" w14:paraId="7A62FD03" w14:textId="77777777" w:rsidTr="004B0A87">
        <w:tc>
          <w:tcPr>
            <w:tcW w:w="2464" w:type="dxa"/>
          </w:tcPr>
          <w:p w14:paraId="6FBA125C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505F52A6" w14:textId="77777777" w:rsidR="007E7A03" w:rsidRPr="005A1CC4" w:rsidRDefault="007E7A03" w:rsidP="007E7A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61" w:type="dxa"/>
          </w:tcPr>
          <w:p w14:paraId="73F294A0" w14:textId="77777777" w:rsidR="007E7A03" w:rsidRPr="005A1CC4" w:rsidRDefault="007E7A03" w:rsidP="007E7A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92" w:type="dxa"/>
          </w:tcPr>
          <w:p w14:paraId="3C3CB4AA" w14:textId="77777777" w:rsidR="007E7A03" w:rsidRPr="005A1CC4" w:rsidRDefault="007E7A03" w:rsidP="007E7A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78" w:type="dxa"/>
          </w:tcPr>
          <w:p w14:paraId="7FEB9F04" w14:textId="77777777" w:rsidR="007E7A03" w:rsidRPr="005A1CC4" w:rsidRDefault="007E7A03" w:rsidP="007E7A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78" w:type="dxa"/>
          </w:tcPr>
          <w:p w14:paraId="0D4064AD" w14:textId="77777777" w:rsidR="007E7A03" w:rsidRPr="005A1CC4" w:rsidRDefault="007E7A03" w:rsidP="007E7A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7E7A03" w:rsidRPr="005A1CC4" w14:paraId="75DAB61B" w14:textId="77777777" w:rsidTr="008664C7">
        <w:tc>
          <w:tcPr>
            <w:tcW w:w="2464" w:type="dxa"/>
            <w:vAlign w:val="center"/>
          </w:tcPr>
          <w:p w14:paraId="429156D3" w14:textId="77777777" w:rsidR="007E7A03" w:rsidRPr="005A1CC4" w:rsidRDefault="007E7A03" w:rsidP="008664C7">
            <w:pPr>
              <w:rPr>
                <w:rFonts w:ascii="Times New Roman" w:hAnsi="Times New Roman" w:cs="Times New Roman"/>
                <w:bCs/>
              </w:rPr>
            </w:pPr>
            <w:r w:rsidRPr="005A1CC4">
              <w:rPr>
                <w:rFonts w:ascii="Times New Roman" w:hAnsi="Times New Roman" w:cs="Times New Roman"/>
                <w:bCs/>
              </w:rPr>
              <w:t>Fakülte lisans müfredatı, öğrencilere çekirdek hastalıklar ve durumlar konusunda yeterli bilgi ve beceri sağlama açısından yeterli</w:t>
            </w:r>
            <w:r w:rsidR="00E95C26">
              <w:rPr>
                <w:rFonts w:ascii="Times New Roman" w:hAnsi="Times New Roman" w:cs="Times New Roman"/>
                <w:bCs/>
              </w:rPr>
              <w:t>dir.</w:t>
            </w:r>
          </w:p>
        </w:tc>
        <w:tc>
          <w:tcPr>
            <w:tcW w:w="1561" w:type="dxa"/>
          </w:tcPr>
          <w:p w14:paraId="5CBCA482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4BFFF07C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34B9960C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4EBE0B66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6BC81501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7743AB6E" w14:textId="77777777" w:rsidTr="008664C7">
        <w:tc>
          <w:tcPr>
            <w:tcW w:w="2464" w:type="dxa"/>
            <w:vAlign w:val="center"/>
          </w:tcPr>
          <w:p w14:paraId="628915A1" w14:textId="77777777" w:rsidR="007E7A03" w:rsidRPr="005A1CC4" w:rsidRDefault="007E7A03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mesleki uygulamalar konusunda yeterli bilgi ve beceri sağlama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400FAA03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33FA1DD7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1D579866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447E4BFC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3C35CE9A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02273C4E" w14:textId="77777777" w:rsidTr="005A1CC4">
        <w:tc>
          <w:tcPr>
            <w:tcW w:w="9634" w:type="dxa"/>
            <w:gridSpan w:val="6"/>
          </w:tcPr>
          <w:p w14:paraId="7A1491B8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</w:rPr>
              <w:t>TEORİK VE UYGULAMALI BİLGİ</w:t>
            </w:r>
          </w:p>
        </w:tc>
      </w:tr>
      <w:tr w:rsidR="007E7A03" w:rsidRPr="005A1CC4" w14:paraId="616C0313" w14:textId="77777777" w:rsidTr="008664C7">
        <w:tc>
          <w:tcPr>
            <w:tcW w:w="2464" w:type="dxa"/>
            <w:vAlign w:val="center"/>
          </w:tcPr>
          <w:p w14:paraId="36412493" w14:textId="77777777" w:rsidR="007E7A03" w:rsidRPr="005A1CC4" w:rsidRDefault="007E7A03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teorik bilgi sağlamada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7C24E3A2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2E3DB297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0FF924B3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64019256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2B57C6A2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6F584DD8" w14:textId="77777777" w:rsidTr="008664C7">
        <w:tc>
          <w:tcPr>
            <w:tcW w:w="2464" w:type="dxa"/>
            <w:vAlign w:val="center"/>
          </w:tcPr>
          <w:p w14:paraId="07BEE206" w14:textId="77777777" w:rsidR="007E7A03" w:rsidRPr="005A1CC4" w:rsidRDefault="007E7A03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uygulamalı bilgi sağlamada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40F1A5CB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11723DA2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66B31E01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00930860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23B4EF98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439A0799" w14:textId="77777777" w:rsidTr="005A1CC4">
        <w:tc>
          <w:tcPr>
            <w:tcW w:w="9634" w:type="dxa"/>
            <w:gridSpan w:val="6"/>
          </w:tcPr>
          <w:p w14:paraId="29AF429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</w:rPr>
              <w:t>İLETİŞİM VE SOSYAL YETKİNLİKLER</w:t>
            </w:r>
          </w:p>
        </w:tc>
      </w:tr>
      <w:tr w:rsidR="007E7A03" w:rsidRPr="005A1CC4" w14:paraId="01772DF9" w14:textId="77777777" w:rsidTr="008664C7">
        <w:tc>
          <w:tcPr>
            <w:tcW w:w="2464" w:type="dxa"/>
            <w:vAlign w:val="center"/>
          </w:tcPr>
          <w:p w14:paraId="07225EA3" w14:textId="77777777" w:rsidR="007E7A03" w:rsidRPr="005A1CC4" w:rsidRDefault="007E7A03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iletişim ve sosyal yetkinlik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4C9555D3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180A6BDA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62D848C2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1E6C2E0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372E2CBD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5BCF06BF" w14:textId="77777777" w:rsidTr="008664C7">
        <w:tc>
          <w:tcPr>
            <w:tcW w:w="2464" w:type="dxa"/>
            <w:vAlign w:val="center"/>
          </w:tcPr>
          <w:p w14:paraId="542B5EBB" w14:textId="77777777" w:rsidR="007E7A03" w:rsidRPr="005A1CC4" w:rsidRDefault="007E7A03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tüm yaş gruplarının tanı ve tedavi süreçlerinde hastanın zihinsel gelişim aşamalarını dikkate alarak iletişim kurabilme ve hasta merkezli yaklaşım uygulayabilme becerisi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1EDE0B6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4767F05E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797D1558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4EA8D0F2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3D64B70B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0BED4184" w14:textId="77777777" w:rsidTr="005A1CC4">
        <w:tc>
          <w:tcPr>
            <w:tcW w:w="9634" w:type="dxa"/>
            <w:gridSpan w:val="6"/>
          </w:tcPr>
          <w:p w14:paraId="3042C0DA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  <w:bCs/>
              </w:rPr>
              <w:t>BİLİMSEL DÜŞÜNCE VE ETİK DEĞERLER</w:t>
            </w:r>
          </w:p>
        </w:tc>
      </w:tr>
      <w:tr w:rsidR="007E7A03" w:rsidRPr="005A1CC4" w14:paraId="3A53DEC2" w14:textId="77777777" w:rsidTr="008664C7">
        <w:tc>
          <w:tcPr>
            <w:tcW w:w="2464" w:type="dxa"/>
            <w:vAlign w:val="center"/>
          </w:tcPr>
          <w:p w14:paraId="27F72205" w14:textId="77777777" w:rsidR="007E7A03" w:rsidRPr="005A1CC4" w:rsidRDefault="007E7A03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lastRenderedPageBreak/>
              <w:t>Fakülte lisans müfredatı, öğrencilere tüm mesleki uygulamalarda ve bilimsel araştırmalarda hukuk kurallarına ve mesleki etiğe uygun davranma becerisi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4EE0F514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2726E33F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19E8BFB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110F31BD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0EF3CEDE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0BBED7BB" w14:textId="77777777" w:rsidTr="005A1CC4">
        <w:tc>
          <w:tcPr>
            <w:tcW w:w="9634" w:type="dxa"/>
            <w:gridSpan w:val="6"/>
          </w:tcPr>
          <w:p w14:paraId="3E959696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</w:rPr>
              <w:t>PROBLEM ÇÖZME VE ELEŞTİREL DÜŞÜNME BECERİLERİ</w:t>
            </w:r>
          </w:p>
        </w:tc>
      </w:tr>
      <w:tr w:rsidR="007E7A03" w:rsidRPr="005A1CC4" w14:paraId="17684BD8" w14:textId="77777777" w:rsidTr="008664C7">
        <w:tc>
          <w:tcPr>
            <w:tcW w:w="2464" w:type="dxa"/>
            <w:vAlign w:val="center"/>
          </w:tcPr>
          <w:p w14:paraId="3366CF3E" w14:textId="77777777" w:rsidR="007E7A03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eleştirel düşünme becerileri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0A293ABE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6ABF4DDB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481ACBA9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4703EAF6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7C59ADAA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7D47B9E3" w14:textId="77777777" w:rsidTr="008664C7">
        <w:tc>
          <w:tcPr>
            <w:tcW w:w="2464" w:type="dxa"/>
            <w:vAlign w:val="center"/>
          </w:tcPr>
          <w:p w14:paraId="17326554" w14:textId="77777777" w:rsidR="007E7A03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 xml:space="preserve">Fakülte lisans </w:t>
            </w:r>
            <w:proofErr w:type="spellStart"/>
            <w:proofErr w:type="gramStart"/>
            <w:r w:rsidRPr="005A1CC4">
              <w:rPr>
                <w:rFonts w:ascii="Times New Roman" w:hAnsi="Times New Roman" w:cs="Times New Roman"/>
              </w:rPr>
              <w:t>müfredatı</w:t>
            </w:r>
            <w:r w:rsidR="00E95C26">
              <w:rPr>
                <w:rFonts w:ascii="Times New Roman" w:hAnsi="Times New Roman" w:cs="Times New Roman"/>
              </w:rPr>
              <w:t>,öğ</w:t>
            </w:r>
            <w:r w:rsidRPr="005A1CC4">
              <w:rPr>
                <w:rFonts w:ascii="Times New Roman" w:hAnsi="Times New Roman" w:cs="Times New Roman"/>
              </w:rPr>
              <w:t>rencilere</w:t>
            </w:r>
            <w:proofErr w:type="spellEnd"/>
            <w:proofErr w:type="gramEnd"/>
            <w:r w:rsidRPr="005A1CC4">
              <w:rPr>
                <w:rFonts w:ascii="Times New Roman" w:hAnsi="Times New Roman" w:cs="Times New Roman"/>
              </w:rPr>
              <w:t xml:space="preserve"> alternatif tedavi planları tasarlama, hastaya bu planların avantaj ve dezavantajları hakkında bilgi verme ve hasta </w:t>
            </w:r>
            <w:proofErr w:type="gramStart"/>
            <w:r w:rsidRPr="005A1CC4">
              <w:rPr>
                <w:rFonts w:ascii="Times New Roman" w:hAnsi="Times New Roman" w:cs="Times New Roman"/>
              </w:rPr>
              <w:t>ile birlikte</w:t>
            </w:r>
            <w:proofErr w:type="gramEnd"/>
            <w:r w:rsidRPr="005A1CC4">
              <w:rPr>
                <w:rFonts w:ascii="Times New Roman" w:hAnsi="Times New Roman" w:cs="Times New Roman"/>
              </w:rPr>
              <w:t xml:space="preserve"> tedavi planına karar verme becerisi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0366026A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7B774724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29F1177B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211E96A3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2D85B399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4DD205A1" w14:textId="77777777" w:rsidTr="005A1CC4">
        <w:tc>
          <w:tcPr>
            <w:tcW w:w="9634" w:type="dxa"/>
            <w:gridSpan w:val="6"/>
          </w:tcPr>
          <w:p w14:paraId="43B33A57" w14:textId="77777777" w:rsidR="007E7A03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</w:rPr>
              <w:t xml:space="preserve">DİSİPLİNLERARASI BAĞLANTILAR VE </w:t>
            </w:r>
            <w:proofErr w:type="gramStart"/>
            <w:r w:rsidRPr="005A1CC4">
              <w:rPr>
                <w:rFonts w:ascii="Times New Roman" w:hAnsi="Times New Roman" w:cs="Times New Roman"/>
                <w:b/>
              </w:rPr>
              <w:t>İŞBİRLİĞİ</w:t>
            </w:r>
            <w:proofErr w:type="gramEnd"/>
          </w:p>
        </w:tc>
      </w:tr>
      <w:tr w:rsidR="007E7A03" w:rsidRPr="005A1CC4" w14:paraId="57216539" w14:textId="77777777" w:rsidTr="008664C7">
        <w:tc>
          <w:tcPr>
            <w:tcW w:w="2464" w:type="dxa"/>
            <w:vAlign w:val="center"/>
          </w:tcPr>
          <w:p w14:paraId="0D2ECC28" w14:textId="77777777" w:rsidR="007E7A03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meslektaşları ve diğer sağlık çalışanları ile temel iletişim tekniklerini kullanarak etkili iletişim kurabilme becerisi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575AC5C4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5061C2A0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51744678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74C05B5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127CC1BF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0A7FCDEC" w14:textId="77777777" w:rsidTr="005A1CC4">
        <w:tc>
          <w:tcPr>
            <w:tcW w:w="9634" w:type="dxa"/>
            <w:gridSpan w:val="6"/>
          </w:tcPr>
          <w:p w14:paraId="37351552" w14:textId="77777777" w:rsidR="007E7A03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</w:rPr>
              <w:t>TANI VE TEDAVİ SÜREÇLERİ</w:t>
            </w:r>
          </w:p>
        </w:tc>
      </w:tr>
      <w:tr w:rsidR="007E7A03" w:rsidRPr="005A1CC4" w14:paraId="1930C015" w14:textId="77777777" w:rsidTr="008664C7">
        <w:tc>
          <w:tcPr>
            <w:tcW w:w="2464" w:type="dxa"/>
            <w:vAlign w:val="center"/>
          </w:tcPr>
          <w:p w14:paraId="640B961F" w14:textId="77777777" w:rsidR="007E7A03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tanı ve tedavi süreçlerine ilişkin yeterli bilgi ve beceri sağlama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2B8B16BA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11F3B3E4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4D48EEE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0201A27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13C21F20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63B22966" w14:textId="77777777" w:rsidTr="008664C7">
        <w:tc>
          <w:tcPr>
            <w:tcW w:w="2464" w:type="dxa"/>
            <w:vAlign w:val="center"/>
          </w:tcPr>
          <w:p w14:paraId="7E45AB9C" w14:textId="77777777" w:rsidR="007E7A03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diş h</w:t>
            </w:r>
            <w:r w:rsidR="00E95C26">
              <w:rPr>
                <w:rFonts w:ascii="Times New Roman" w:hAnsi="Times New Roman" w:cs="Times New Roman"/>
              </w:rPr>
              <w:t xml:space="preserve">astalıklarını değerlendirirken </w:t>
            </w:r>
            <w:r w:rsidRPr="005A1CC4">
              <w:rPr>
                <w:rFonts w:ascii="Times New Roman" w:hAnsi="Times New Roman" w:cs="Times New Roman"/>
              </w:rPr>
              <w:t>acil ve öncelikli tıbbi ve dental durumları göz önünde bulundurma becerisi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51D57289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0497DD2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510B931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441660C6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298B6519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7C135307" w14:textId="77777777" w:rsidTr="008664C7">
        <w:tc>
          <w:tcPr>
            <w:tcW w:w="2464" w:type="dxa"/>
            <w:vAlign w:val="center"/>
          </w:tcPr>
          <w:p w14:paraId="44EB2C89" w14:textId="77777777" w:rsidR="007E7A03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lastRenderedPageBreak/>
              <w:t>Fakülte lisans müfredatının, öğrencilere dental tedaviler esnasında oluşa</w:t>
            </w:r>
            <w:r w:rsidR="00E95C26">
              <w:rPr>
                <w:rFonts w:ascii="Times New Roman" w:hAnsi="Times New Roman" w:cs="Times New Roman"/>
              </w:rPr>
              <w:t>bilecek muhtemel komplikasyonla</w:t>
            </w:r>
            <w:r w:rsidRPr="005A1CC4">
              <w:rPr>
                <w:rFonts w:ascii="Times New Roman" w:hAnsi="Times New Roman" w:cs="Times New Roman"/>
              </w:rPr>
              <w:t>rı bilme, hastayı bilgilendirme, bunları önleyici tedbirler alma ve tedavi sürecini yönetme becerisi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0D184EA0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788D1535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57737E39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04BE472C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12BD1D22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1E34BE1A" w14:textId="77777777" w:rsidTr="005A1CC4">
        <w:tc>
          <w:tcPr>
            <w:tcW w:w="9634" w:type="dxa"/>
            <w:gridSpan w:val="6"/>
          </w:tcPr>
          <w:p w14:paraId="0C651DCB" w14:textId="77777777" w:rsidR="007E7A03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</w:rPr>
              <w:t>TOPLUM AĞIZ VE DİŞ SAĞLIĞI</w:t>
            </w:r>
          </w:p>
        </w:tc>
      </w:tr>
      <w:tr w:rsidR="007E7A03" w:rsidRPr="005A1CC4" w14:paraId="6F8CCEA0" w14:textId="77777777" w:rsidTr="008664C7">
        <w:tc>
          <w:tcPr>
            <w:tcW w:w="2464" w:type="dxa"/>
            <w:vAlign w:val="center"/>
          </w:tcPr>
          <w:p w14:paraId="686DBE9D" w14:textId="77777777" w:rsidR="007E7A03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toplum ağız ve diş sağlığı konularında yeterli bilgi ve beceri sağlama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55367EB3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26A787EC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04163BFC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6407DE74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1CEDF2EA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A03" w:rsidRPr="005A1CC4" w14:paraId="15FDCC80" w14:textId="77777777" w:rsidTr="008664C7">
        <w:tc>
          <w:tcPr>
            <w:tcW w:w="2464" w:type="dxa"/>
            <w:vAlign w:val="center"/>
          </w:tcPr>
          <w:p w14:paraId="07DFC53E" w14:textId="77777777" w:rsidR="007E7A03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 öğrencilere toplumsal düzeyde, ağız ve diş sağlığının korunmasına yönelik ulusal sağlık politikalarında sorumluluk alma ve fikir üretme becerisi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2E9E8B67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1356CAE2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03B1F920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5DAEFCDE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1D27ABFD" w14:textId="77777777" w:rsidR="007E7A03" w:rsidRPr="005A1CC4" w:rsidRDefault="007E7A03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1CC4" w:rsidRPr="005A1CC4" w14:paraId="08227C1A" w14:textId="77777777" w:rsidTr="005A1CC4">
        <w:tc>
          <w:tcPr>
            <w:tcW w:w="9634" w:type="dxa"/>
            <w:gridSpan w:val="6"/>
          </w:tcPr>
          <w:p w14:paraId="449AF7D5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  <w:bCs/>
              </w:rPr>
              <w:t>YAŞAM BOYU ÖĞRENME VE SÜREKLİ MESLEKİ GELİŞİM</w:t>
            </w:r>
          </w:p>
        </w:tc>
      </w:tr>
      <w:tr w:rsidR="005A1CC4" w:rsidRPr="005A1CC4" w14:paraId="1DF7D33B" w14:textId="77777777" w:rsidTr="00BD15D0">
        <w:trPr>
          <w:trHeight w:val="1647"/>
        </w:trPr>
        <w:tc>
          <w:tcPr>
            <w:tcW w:w="2464" w:type="dxa"/>
            <w:vAlign w:val="center"/>
          </w:tcPr>
          <w:p w14:paraId="2DFF9D21" w14:textId="77777777" w:rsidR="005A1CC4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yaşam boyu öğrenme fikrini benimseme ve sürekli mesleki gelişim sağlama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423BD0DB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0BC8418C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1C873F20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0B8D68FF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4B01C538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1CC4" w:rsidRPr="005A1CC4" w14:paraId="3C02271C" w14:textId="77777777" w:rsidTr="008664C7">
        <w:tc>
          <w:tcPr>
            <w:tcW w:w="2464" w:type="dxa"/>
            <w:vAlign w:val="center"/>
          </w:tcPr>
          <w:p w14:paraId="476F48C3" w14:textId="77777777" w:rsidR="005A1CC4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 öğrencilere kendi mesleki gelişimlerini sürdürürken yeni teknolojileri, yaklaşımları ve yöntemleri araştırma ve değerlendirme becerisi kazandırma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134741E0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2FB6EA78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174DCAFF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1E716477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7F27FC2C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1CC4" w:rsidRPr="005A1CC4" w14:paraId="1CD4CDA8" w14:textId="77777777" w:rsidTr="008664C7">
        <w:tc>
          <w:tcPr>
            <w:tcW w:w="2464" w:type="dxa"/>
            <w:vAlign w:val="center"/>
          </w:tcPr>
          <w:p w14:paraId="39A33237" w14:textId="77777777" w:rsidR="005A1CC4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 xml:space="preserve">Fakülte lisans müfredatı öğrencilere mesleki gelişimlerini </w:t>
            </w:r>
            <w:r w:rsidRPr="005A1CC4">
              <w:rPr>
                <w:rFonts w:ascii="Times New Roman" w:hAnsi="Times New Roman" w:cs="Times New Roman"/>
              </w:rPr>
              <w:lastRenderedPageBreak/>
              <w:t>destekleyecek etkinliklere (kongre, sempozyum, eğitim kursları vb.) katılma önemini ve değerini kavratma açısından yeterli</w:t>
            </w:r>
            <w:r w:rsidR="00E95C26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44CA480A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1F3A7C3B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21BC99AF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5B609588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23555CC6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1CC4" w:rsidRPr="005A1CC4" w14:paraId="49EC7240" w14:textId="77777777" w:rsidTr="005A1CC4">
        <w:tc>
          <w:tcPr>
            <w:tcW w:w="9634" w:type="dxa"/>
            <w:gridSpan w:val="6"/>
          </w:tcPr>
          <w:p w14:paraId="2AE26293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b/>
                <w:bCs/>
              </w:rPr>
              <w:t>ARAŞTIRMA VE İNOVASYON</w:t>
            </w:r>
          </w:p>
        </w:tc>
      </w:tr>
      <w:tr w:rsidR="005A1CC4" w:rsidRPr="005A1CC4" w14:paraId="304BC69C" w14:textId="77777777" w:rsidTr="008664C7">
        <w:tc>
          <w:tcPr>
            <w:tcW w:w="2464" w:type="dxa"/>
            <w:vAlign w:val="center"/>
          </w:tcPr>
          <w:p w14:paraId="0EE7DAB8" w14:textId="77777777" w:rsidR="005A1CC4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 öğrencilere araştırma ve inovasyon konularında yeterli bilgi ve beceri sağlama açısından yeterli</w:t>
            </w:r>
            <w:r w:rsidR="00CD2601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6FBE73AC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78687B7A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5B55EA09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0A0038B5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458C3EA3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1CC4" w:rsidRPr="005A1CC4" w14:paraId="48C3DA93" w14:textId="77777777" w:rsidTr="008664C7">
        <w:tc>
          <w:tcPr>
            <w:tcW w:w="2464" w:type="dxa"/>
            <w:vAlign w:val="center"/>
          </w:tcPr>
          <w:p w14:paraId="660F2EE1" w14:textId="77777777" w:rsidR="005A1CC4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müfredatı, öğrencilere araştırma projeleri geliştirme, yürütme ve sonuçlarını yayma becerisi kazandırma açısından yeterli</w:t>
            </w:r>
            <w:r w:rsidR="00CD2601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6F865044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0EC23B70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4C6EFF8B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594E58C0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2DAFB51D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1CC4" w:rsidRPr="005A1CC4" w14:paraId="0B4A2B2C" w14:textId="77777777" w:rsidTr="008664C7">
        <w:tc>
          <w:tcPr>
            <w:tcW w:w="2464" w:type="dxa"/>
            <w:vAlign w:val="center"/>
          </w:tcPr>
          <w:p w14:paraId="1CA5065B" w14:textId="77777777" w:rsidR="005A1CC4" w:rsidRPr="005A1CC4" w:rsidRDefault="005A1CC4" w:rsidP="008664C7">
            <w:pPr>
              <w:rPr>
                <w:rFonts w:ascii="Times New Roman" w:hAnsi="Times New Roman" w:cs="Times New Roman"/>
              </w:rPr>
            </w:pPr>
            <w:r w:rsidRPr="005A1CC4">
              <w:rPr>
                <w:rFonts w:ascii="Times New Roman" w:hAnsi="Times New Roman" w:cs="Times New Roman"/>
              </w:rPr>
              <w:t>Fakülte lisans müfredatı öğrencilere diş hekimliği alanında yenilikçi ve etkili çözümler geliştirme, uygulama ve yayma becerisi kazandırma açısından yeterli</w:t>
            </w:r>
            <w:r w:rsidR="00CD2601">
              <w:rPr>
                <w:rFonts w:ascii="Times New Roman" w:hAnsi="Times New Roman" w:cs="Times New Roman"/>
              </w:rPr>
              <w:t>dir.</w:t>
            </w:r>
          </w:p>
        </w:tc>
        <w:tc>
          <w:tcPr>
            <w:tcW w:w="1561" w:type="dxa"/>
          </w:tcPr>
          <w:p w14:paraId="01F19972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</w:tcPr>
          <w:p w14:paraId="2C98495C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</w:tcPr>
          <w:p w14:paraId="694328EF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508659DA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" w:type="dxa"/>
          </w:tcPr>
          <w:p w14:paraId="4D31D1CB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1CC4" w:rsidRPr="005A1CC4" w14:paraId="469B1DAC" w14:textId="77777777" w:rsidTr="005A1CC4">
        <w:tc>
          <w:tcPr>
            <w:tcW w:w="9634" w:type="dxa"/>
            <w:gridSpan w:val="6"/>
          </w:tcPr>
          <w:p w14:paraId="3766E2F8" w14:textId="77777777" w:rsidR="005A1CC4" w:rsidRPr="005A1CC4" w:rsidRDefault="005A1CC4" w:rsidP="005A1C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A1CC4">
              <w:rPr>
                <w:rFonts w:ascii="Times New Roman" w:hAnsi="Times New Roman" w:cs="Times New Roman"/>
                <w:sz w:val="22"/>
                <w:szCs w:val="22"/>
              </w:rPr>
              <w:t>YUKARIDAKİ SORULAR DIŞINDA İLETMEK İSTEDİ</w:t>
            </w:r>
            <w:r w:rsidR="004B0A87">
              <w:rPr>
                <w:rFonts w:ascii="Times New Roman" w:hAnsi="Times New Roman" w:cs="Times New Roman"/>
                <w:sz w:val="22"/>
                <w:szCs w:val="22"/>
              </w:rPr>
              <w:t>ĞİNİZ GÖRÜŞ VE ÖNERİLERİNİZİ YAZINIZ</w:t>
            </w:r>
            <w:r w:rsidRPr="005A1CC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011E0F7A" w14:textId="77777777" w:rsidR="005A1CC4" w:rsidRPr="005A1CC4" w:rsidRDefault="005A1CC4" w:rsidP="005A1C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446474" w14:textId="77777777" w:rsidR="005A1CC4" w:rsidRPr="005A1CC4" w:rsidRDefault="005A1CC4" w:rsidP="005A1C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EABA1" w14:textId="77777777" w:rsidR="005A1CC4" w:rsidRPr="005A1CC4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7CE35B0" w14:textId="77777777" w:rsidR="009D6D10" w:rsidRDefault="005A1CC4" w:rsidP="00230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CEE717C" w14:textId="77777777" w:rsidR="005A1CC4" w:rsidRDefault="005A1CC4" w:rsidP="00230C66">
      <w:pPr>
        <w:jc w:val="both"/>
        <w:rPr>
          <w:rFonts w:ascii="Times New Roman" w:hAnsi="Times New Roman" w:cs="Times New Roman"/>
        </w:rPr>
      </w:pPr>
    </w:p>
    <w:p w14:paraId="72848600" w14:textId="77777777" w:rsidR="005A1CC4" w:rsidRDefault="005A1CC4" w:rsidP="00230C66">
      <w:pPr>
        <w:jc w:val="both"/>
        <w:rPr>
          <w:rFonts w:ascii="Times New Roman" w:hAnsi="Times New Roman" w:cs="Times New Roman"/>
        </w:rPr>
      </w:pPr>
    </w:p>
    <w:p w14:paraId="611593AD" w14:textId="77777777" w:rsidR="005A1CC4" w:rsidRDefault="005A1CC4" w:rsidP="00230C66">
      <w:pPr>
        <w:jc w:val="both"/>
        <w:rPr>
          <w:rFonts w:ascii="Times New Roman" w:hAnsi="Times New Roman" w:cs="Times New Roman"/>
        </w:rPr>
      </w:pPr>
    </w:p>
    <w:p w14:paraId="13CF406C" w14:textId="77777777" w:rsidR="005A1CC4" w:rsidRDefault="005A1CC4" w:rsidP="00230C66">
      <w:pPr>
        <w:jc w:val="both"/>
        <w:rPr>
          <w:rFonts w:ascii="Times New Roman" w:hAnsi="Times New Roman" w:cs="Times New Roman"/>
        </w:rPr>
      </w:pPr>
    </w:p>
    <w:p w14:paraId="10E72A48" w14:textId="77777777" w:rsidR="005A1CC4" w:rsidRDefault="005A1CC4" w:rsidP="00230C66">
      <w:pPr>
        <w:jc w:val="both"/>
        <w:rPr>
          <w:rFonts w:ascii="Times New Roman" w:hAnsi="Times New Roman" w:cs="Times New Roman"/>
        </w:rPr>
      </w:pPr>
    </w:p>
    <w:p w14:paraId="0F4DC4BB" w14:textId="77777777" w:rsidR="00BD15D0" w:rsidRDefault="00BD15D0" w:rsidP="00230C66">
      <w:pPr>
        <w:jc w:val="both"/>
        <w:rPr>
          <w:rFonts w:ascii="Times New Roman" w:hAnsi="Times New Roman" w:cs="Times New Roman"/>
        </w:rPr>
      </w:pPr>
    </w:p>
    <w:p w14:paraId="3580F2BB" w14:textId="77777777" w:rsidR="005A1CC4" w:rsidRDefault="005A1CC4" w:rsidP="00230C66">
      <w:pPr>
        <w:jc w:val="both"/>
        <w:rPr>
          <w:rFonts w:ascii="Times New Roman" w:hAnsi="Times New Roman" w:cs="Times New Roman"/>
        </w:rPr>
      </w:pPr>
    </w:p>
    <w:p w14:paraId="0A1A57C9" w14:textId="77777777" w:rsidR="00FF7C08" w:rsidRDefault="00FF7C08" w:rsidP="00BD15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7E2C6" w14:textId="77777777" w:rsidR="00FF7C08" w:rsidRDefault="00FF7C08" w:rsidP="00BD15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C703A" w14:textId="77777777" w:rsidR="00FF7C08" w:rsidRDefault="00FF7C08" w:rsidP="00BD15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CBDA3" w14:textId="35339308" w:rsidR="005A1CC4" w:rsidRPr="0063394A" w:rsidRDefault="005A1CC4" w:rsidP="00BD15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ORDU ÜNİVERSİTESİ DİŞ HEKİMLİĞİ FAKÜLTESİ </w:t>
      </w:r>
    </w:p>
    <w:p w14:paraId="4B33D78D" w14:textId="77777777" w:rsidR="005A1CC4" w:rsidRPr="0063394A" w:rsidRDefault="005A1CC4" w:rsidP="00BD15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MÜFREDAT </w:t>
      </w:r>
      <w:r w:rsidRPr="0063394A">
        <w:rPr>
          <w:rFonts w:ascii="Times New Roman" w:hAnsi="Times New Roman" w:cs="Times New Roman"/>
          <w:b/>
          <w:bCs/>
          <w:sz w:val="24"/>
          <w:szCs w:val="24"/>
        </w:rPr>
        <w:t>DEĞERLENDİRME ANKETİ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(EĞİTİCİ)</w:t>
      </w:r>
      <w:r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 UYGULAMA ESASLARI</w:t>
      </w:r>
    </w:p>
    <w:p w14:paraId="1EE1250D" w14:textId="77777777" w:rsidR="005A1CC4" w:rsidRPr="0063394A" w:rsidRDefault="005A1CC4" w:rsidP="00BD1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571B9F" w14:textId="7F1789B5" w:rsidR="005A1CC4" w:rsidRDefault="005A1CC4" w:rsidP="005A1CC4">
      <w:pPr>
        <w:jc w:val="both"/>
        <w:rPr>
          <w:rFonts w:ascii="Times New Roman" w:hAnsi="Times New Roman" w:cs="Times New Roman"/>
          <w:sz w:val="24"/>
          <w:szCs w:val="24"/>
        </w:rPr>
      </w:pPr>
      <w:r w:rsidRPr="0063394A">
        <w:rPr>
          <w:rFonts w:ascii="Times New Roman" w:hAnsi="Times New Roman" w:cs="Times New Roman"/>
          <w:sz w:val="24"/>
          <w:szCs w:val="24"/>
        </w:rPr>
        <w:t xml:space="preserve">1-Fakültemizde </w:t>
      </w:r>
      <w:r>
        <w:rPr>
          <w:rFonts w:ascii="Times New Roman" w:hAnsi="Times New Roman" w:cs="Times New Roman"/>
          <w:sz w:val="24"/>
          <w:szCs w:val="24"/>
        </w:rPr>
        <w:t>bahar yarıyılı sonunda</w:t>
      </w:r>
      <w:r w:rsidR="005D3C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Mayıs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ayı içerisinde</w:t>
      </w:r>
      <w:r w:rsidR="00DC0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“Müfredat Değerlendirme Anketi (Eğitici)”</w:t>
      </w:r>
      <w:r w:rsidRPr="0063394A">
        <w:rPr>
          <w:rFonts w:ascii="Times New Roman" w:hAnsi="Times New Roman" w:cs="Times New Roman"/>
          <w:sz w:val="24"/>
          <w:szCs w:val="24"/>
        </w:rPr>
        <w:t xml:space="preserve"> yazılı veya online yapıl</w:t>
      </w:r>
      <w:r>
        <w:rPr>
          <w:rFonts w:ascii="Times New Roman" w:hAnsi="Times New Roman" w:cs="Times New Roman"/>
          <w:sz w:val="24"/>
          <w:szCs w:val="24"/>
        </w:rPr>
        <w:t>ır</w:t>
      </w:r>
      <w:r w:rsidRPr="0063394A">
        <w:rPr>
          <w:rFonts w:ascii="Times New Roman" w:hAnsi="Times New Roman" w:cs="Times New Roman"/>
          <w:sz w:val="24"/>
          <w:szCs w:val="24"/>
        </w:rPr>
        <w:t>.</w:t>
      </w:r>
    </w:p>
    <w:p w14:paraId="2ECB6992" w14:textId="77777777" w:rsidR="005A1CC4" w:rsidRPr="0063394A" w:rsidRDefault="005A1CC4" w:rsidP="005A1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6A15CF">
        <w:rPr>
          <w:rFonts w:ascii="Times New Roman" w:hAnsi="Times New Roman" w:cs="Times New Roman"/>
          <w:sz w:val="24"/>
          <w:szCs w:val="24"/>
        </w:rPr>
        <w:t xml:space="preserve">Anketlerin uygulama süreci, Öğrenci İşleri Daire Başkanlığı/Fakülte Öğrenci İşleri Birimi tarafından yürütülecektir.  Uygulamaya başlamadan önce, </w:t>
      </w:r>
      <w:r>
        <w:rPr>
          <w:rFonts w:ascii="Times New Roman" w:hAnsi="Times New Roman" w:cs="Times New Roman"/>
          <w:sz w:val="24"/>
          <w:szCs w:val="24"/>
        </w:rPr>
        <w:t>mezunlarımıza</w:t>
      </w:r>
      <w:r w:rsidRPr="006A15CF">
        <w:rPr>
          <w:rFonts w:ascii="Times New Roman" w:hAnsi="Times New Roman" w:cs="Times New Roman"/>
          <w:sz w:val="24"/>
          <w:szCs w:val="24"/>
        </w:rPr>
        <w:t xml:space="preserve"> anketin erişime açıldığı bilgisi verilecek ve </w:t>
      </w:r>
      <w:r>
        <w:rPr>
          <w:rFonts w:ascii="Times New Roman" w:hAnsi="Times New Roman" w:cs="Times New Roman"/>
          <w:sz w:val="24"/>
          <w:szCs w:val="24"/>
        </w:rPr>
        <w:t>mezunlarımızdan</w:t>
      </w:r>
      <w:r w:rsidRPr="006A15CF">
        <w:rPr>
          <w:rFonts w:ascii="Times New Roman" w:hAnsi="Times New Roman" w:cs="Times New Roman"/>
          <w:sz w:val="24"/>
          <w:szCs w:val="24"/>
        </w:rPr>
        <w:t xml:space="preserve"> anketin açık olduğu süre zarfında </w:t>
      </w:r>
      <w:r>
        <w:rPr>
          <w:rFonts w:ascii="Times New Roman" w:hAnsi="Times New Roman" w:cs="Times New Roman"/>
          <w:sz w:val="24"/>
          <w:szCs w:val="24"/>
        </w:rPr>
        <w:t>müfredat değerlendirme</w:t>
      </w:r>
      <w:r w:rsidRPr="006A15CF">
        <w:rPr>
          <w:rFonts w:ascii="Times New Roman" w:hAnsi="Times New Roman" w:cs="Times New Roman"/>
          <w:sz w:val="24"/>
          <w:szCs w:val="24"/>
        </w:rPr>
        <w:t xml:space="preserve"> anket</w:t>
      </w:r>
      <w:r>
        <w:rPr>
          <w:rFonts w:ascii="Times New Roman" w:hAnsi="Times New Roman" w:cs="Times New Roman"/>
          <w:sz w:val="24"/>
          <w:szCs w:val="24"/>
        </w:rPr>
        <w:t>ini</w:t>
      </w:r>
      <w:r w:rsidRPr="006A15CF">
        <w:rPr>
          <w:rFonts w:ascii="Times New Roman" w:hAnsi="Times New Roman" w:cs="Times New Roman"/>
          <w:sz w:val="24"/>
          <w:szCs w:val="24"/>
        </w:rPr>
        <w:t xml:space="preserve"> doldurmaları istenecektir.</w:t>
      </w:r>
    </w:p>
    <w:p w14:paraId="4C9DD277" w14:textId="77777777" w:rsidR="005A1CC4" w:rsidRPr="0039732A" w:rsidRDefault="005A1CC4" w:rsidP="005A1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3394A">
        <w:rPr>
          <w:rFonts w:ascii="Times New Roman" w:hAnsi="Times New Roman" w:cs="Times New Roman"/>
          <w:sz w:val="24"/>
          <w:szCs w:val="24"/>
        </w:rPr>
        <w:t xml:space="preserve">- </w:t>
      </w:r>
      <w:r w:rsidRPr="0039732A">
        <w:rPr>
          <w:rFonts w:ascii="Times New Roman" w:hAnsi="Times New Roman" w:cs="Times New Roman"/>
          <w:sz w:val="24"/>
          <w:szCs w:val="24"/>
        </w:rPr>
        <w:t>Ankette kişisel bilgiler gizli tutulmaktadır.</w:t>
      </w:r>
    </w:p>
    <w:p w14:paraId="5DA0038F" w14:textId="77777777" w:rsidR="005A1CC4" w:rsidRPr="0039732A" w:rsidRDefault="005A1CC4" w:rsidP="005A1CC4">
      <w:pPr>
        <w:jc w:val="both"/>
        <w:rPr>
          <w:rFonts w:ascii="Times New Roman" w:hAnsi="Times New Roman" w:cs="Times New Roman"/>
          <w:sz w:val="24"/>
          <w:szCs w:val="24"/>
        </w:rPr>
      </w:pPr>
      <w:r w:rsidRPr="0039732A">
        <w:rPr>
          <w:rFonts w:ascii="Times New Roman" w:hAnsi="Times New Roman" w:cs="Times New Roman"/>
          <w:sz w:val="24"/>
          <w:szCs w:val="24"/>
        </w:rPr>
        <w:t>4- Bir anketin değerlendirilmesi için en az 30</w:t>
      </w:r>
      <w:r>
        <w:rPr>
          <w:rFonts w:ascii="Times New Roman" w:hAnsi="Times New Roman" w:cs="Times New Roman"/>
          <w:sz w:val="24"/>
          <w:szCs w:val="24"/>
        </w:rPr>
        <w:t xml:space="preserve"> eğiticinin</w:t>
      </w:r>
      <w:r w:rsidRPr="0039732A">
        <w:rPr>
          <w:rFonts w:ascii="Times New Roman" w:hAnsi="Times New Roman" w:cs="Times New Roman"/>
          <w:sz w:val="24"/>
          <w:szCs w:val="24"/>
        </w:rPr>
        <w:t xml:space="preserve"> anketi doldurmuş olması gerekmektedir.  </w:t>
      </w:r>
    </w:p>
    <w:p w14:paraId="5EB5671B" w14:textId="77777777" w:rsidR="005A1CC4" w:rsidRDefault="005A1CC4" w:rsidP="005A1CC4">
      <w:pPr>
        <w:jc w:val="both"/>
        <w:rPr>
          <w:rFonts w:ascii="Times New Roman" w:hAnsi="Times New Roman" w:cs="Times New Roman"/>
          <w:sz w:val="24"/>
          <w:szCs w:val="24"/>
        </w:rPr>
      </w:pPr>
      <w:r w:rsidRPr="0039732A">
        <w:rPr>
          <w:rFonts w:ascii="Times New Roman" w:hAnsi="Times New Roman" w:cs="Times New Roman"/>
          <w:sz w:val="24"/>
          <w:szCs w:val="24"/>
        </w:rPr>
        <w:t xml:space="preserve">5- </w:t>
      </w:r>
      <w:r w:rsidRPr="00F12F2C">
        <w:rPr>
          <w:rFonts w:ascii="Times New Roman" w:hAnsi="Times New Roman" w:cs="Times New Roman"/>
          <w:sz w:val="24"/>
          <w:szCs w:val="24"/>
        </w:rPr>
        <w:t>Bu ankette yer alan maddeler 1–5 puan ara</w:t>
      </w:r>
      <w:r>
        <w:rPr>
          <w:rFonts w:ascii="Times New Roman" w:hAnsi="Times New Roman" w:cs="Times New Roman"/>
          <w:sz w:val="24"/>
          <w:szCs w:val="24"/>
        </w:rPr>
        <w:t xml:space="preserve">lığında değerlendirilmektedir. </w:t>
      </w:r>
      <w:r w:rsidRPr="00F12F2C">
        <w:rPr>
          <w:rFonts w:ascii="Times New Roman" w:hAnsi="Times New Roman" w:cs="Times New Roman"/>
          <w:sz w:val="24"/>
          <w:szCs w:val="24"/>
        </w:rPr>
        <w:t>Elde edilen ortalama puanlar (Ortalama – 1) / 4 × 100 formülü ile 100’lük sisteme dönüştürülerek yorumlanmaktadır.</w:t>
      </w:r>
    </w:p>
    <w:p w14:paraId="70414EB2" w14:textId="77777777" w:rsidR="005A1CC4" w:rsidRPr="0039732A" w:rsidRDefault="005A1CC4" w:rsidP="005A1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Pr="006A15CF">
        <w:rPr>
          <w:rFonts w:ascii="Times New Roman" w:hAnsi="Times New Roman" w:cs="Times New Roman"/>
          <w:sz w:val="24"/>
          <w:szCs w:val="24"/>
        </w:rPr>
        <w:t xml:space="preserve">Anket sonuçları </w:t>
      </w:r>
      <w:r w:rsidRPr="008E5233">
        <w:rPr>
          <w:rFonts w:ascii="Times New Roman" w:hAnsi="Times New Roman" w:cs="Times New Roman"/>
          <w:sz w:val="24"/>
          <w:szCs w:val="24"/>
        </w:rPr>
        <w:t xml:space="preserve">Mezuniyet Öncesi Program Değerlendirme ve Müfredat Geliştirme Komisyonu </w:t>
      </w:r>
      <w:r w:rsidRPr="006A15CF">
        <w:rPr>
          <w:rFonts w:ascii="Times New Roman" w:hAnsi="Times New Roman" w:cs="Times New Roman"/>
          <w:sz w:val="24"/>
          <w:szCs w:val="24"/>
        </w:rPr>
        <w:t>tarafından aşağıdaki tabloya göre değerlendirecek</w:t>
      </w:r>
      <w:r>
        <w:rPr>
          <w:rFonts w:ascii="Times New Roman" w:hAnsi="Times New Roman" w:cs="Times New Roman"/>
          <w:sz w:val="24"/>
          <w:szCs w:val="24"/>
        </w:rPr>
        <w:t xml:space="preserve"> ve raporlanacaktır</w:t>
      </w:r>
      <w:r w:rsidRPr="006A15CF">
        <w:rPr>
          <w:rFonts w:ascii="Times New Roman" w:hAnsi="Times New Roman" w:cs="Times New Roman"/>
          <w:sz w:val="24"/>
          <w:szCs w:val="24"/>
        </w:rPr>
        <w:t xml:space="preserve">. Sonuçlar Dekanlığa yazılı olarak bildirilir. </w:t>
      </w:r>
    </w:p>
    <w:p w14:paraId="14750558" w14:textId="77777777" w:rsidR="005A1CC4" w:rsidRPr="0039732A" w:rsidRDefault="005A1CC4" w:rsidP="005A1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9732A">
        <w:rPr>
          <w:rFonts w:ascii="Times New Roman" w:hAnsi="Times New Roman" w:cs="Times New Roman"/>
          <w:sz w:val="24"/>
          <w:szCs w:val="24"/>
        </w:rPr>
        <w:t xml:space="preserve">- “Çok yetersiz” ve “yetersiz” değerlendirmesi alan </w:t>
      </w:r>
      <w:r>
        <w:rPr>
          <w:rFonts w:ascii="Times New Roman" w:hAnsi="Times New Roman" w:cs="Times New Roman"/>
          <w:sz w:val="24"/>
          <w:szCs w:val="24"/>
        </w:rPr>
        <w:t xml:space="preserve">hususlarda müfredatlarda </w:t>
      </w:r>
      <w:r w:rsidRPr="0039732A">
        <w:rPr>
          <w:rFonts w:ascii="Times New Roman" w:hAnsi="Times New Roman" w:cs="Times New Roman"/>
          <w:sz w:val="24"/>
          <w:szCs w:val="24"/>
        </w:rPr>
        <w:t>gerekli iyileştirme çalışmalarını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9732A">
        <w:rPr>
          <w:rFonts w:ascii="Times New Roman" w:hAnsi="Times New Roman" w:cs="Times New Roman"/>
          <w:sz w:val="24"/>
          <w:szCs w:val="24"/>
        </w:rPr>
        <w:t xml:space="preserve"> yap</w:t>
      </w:r>
      <w:r>
        <w:rPr>
          <w:rFonts w:ascii="Times New Roman" w:hAnsi="Times New Roman" w:cs="Times New Roman"/>
          <w:sz w:val="24"/>
          <w:szCs w:val="24"/>
        </w:rPr>
        <w:t>ıl</w:t>
      </w:r>
      <w:r w:rsidRPr="0039732A">
        <w:rPr>
          <w:rFonts w:ascii="Times New Roman" w:hAnsi="Times New Roman" w:cs="Times New Roman"/>
          <w:sz w:val="24"/>
          <w:szCs w:val="24"/>
        </w:rPr>
        <w:t xml:space="preserve">ması </w:t>
      </w:r>
      <w:r w:rsidRPr="008E5233">
        <w:rPr>
          <w:rFonts w:ascii="Times New Roman" w:hAnsi="Times New Roman" w:cs="Times New Roman"/>
          <w:sz w:val="24"/>
          <w:szCs w:val="24"/>
        </w:rPr>
        <w:t xml:space="preserve">Mezuniyet Öncesi Eğitim-Öğretim ve Müfredat Komisyonu </w:t>
      </w:r>
      <w:r>
        <w:rPr>
          <w:rFonts w:ascii="Times New Roman" w:hAnsi="Times New Roman" w:cs="Times New Roman"/>
          <w:sz w:val="24"/>
          <w:szCs w:val="24"/>
        </w:rPr>
        <w:t>tarafından yapılır</w:t>
      </w:r>
      <w:r w:rsidRPr="003973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AAC0D" w14:textId="77777777" w:rsidR="005A1CC4" w:rsidRPr="0063394A" w:rsidRDefault="005A1CC4" w:rsidP="005A1C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5A1CC4" w:rsidRPr="0063394A" w14:paraId="61E0244F" w14:textId="77777777" w:rsidTr="0097342E">
        <w:tc>
          <w:tcPr>
            <w:tcW w:w="3020" w:type="dxa"/>
          </w:tcPr>
          <w:p w14:paraId="79875991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Puan</w:t>
            </w:r>
          </w:p>
        </w:tc>
        <w:tc>
          <w:tcPr>
            <w:tcW w:w="2362" w:type="dxa"/>
          </w:tcPr>
          <w:p w14:paraId="588410A0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Nitel Değerlendirme</w:t>
            </w:r>
          </w:p>
        </w:tc>
        <w:tc>
          <w:tcPr>
            <w:tcW w:w="3680" w:type="dxa"/>
          </w:tcPr>
          <w:p w14:paraId="5D7EBB31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Alınacak Önlem</w:t>
            </w:r>
          </w:p>
        </w:tc>
      </w:tr>
      <w:tr w:rsidR="005A1CC4" w:rsidRPr="0063394A" w14:paraId="40BFE969" w14:textId="77777777" w:rsidTr="0097342E">
        <w:tc>
          <w:tcPr>
            <w:tcW w:w="3020" w:type="dxa"/>
          </w:tcPr>
          <w:p w14:paraId="6EDDDEE9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0-30 </w:t>
            </w:r>
          </w:p>
        </w:tc>
        <w:tc>
          <w:tcPr>
            <w:tcW w:w="2362" w:type="dxa"/>
          </w:tcPr>
          <w:p w14:paraId="50BD8648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yetersiz</w:t>
            </w:r>
          </w:p>
        </w:tc>
        <w:tc>
          <w:tcPr>
            <w:tcW w:w="3680" w:type="dxa"/>
          </w:tcPr>
          <w:p w14:paraId="11D558E4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Acil Düzeltici Faaliyet</w:t>
            </w:r>
          </w:p>
        </w:tc>
      </w:tr>
      <w:tr w:rsidR="005A1CC4" w:rsidRPr="0063394A" w14:paraId="07222D7A" w14:textId="77777777" w:rsidTr="0097342E">
        <w:tc>
          <w:tcPr>
            <w:tcW w:w="3020" w:type="dxa"/>
          </w:tcPr>
          <w:p w14:paraId="1D6A3F08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31-50</w:t>
            </w:r>
          </w:p>
        </w:tc>
        <w:tc>
          <w:tcPr>
            <w:tcW w:w="2362" w:type="dxa"/>
          </w:tcPr>
          <w:p w14:paraId="1000E03D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Yetersiz</w:t>
            </w:r>
          </w:p>
        </w:tc>
        <w:tc>
          <w:tcPr>
            <w:tcW w:w="3680" w:type="dxa"/>
          </w:tcPr>
          <w:p w14:paraId="0CA73ED5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Düzeltici Faaliyet</w:t>
            </w:r>
          </w:p>
        </w:tc>
      </w:tr>
      <w:tr w:rsidR="005A1CC4" w:rsidRPr="0063394A" w14:paraId="3B294200" w14:textId="77777777" w:rsidTr="0097342E">
        <w:tc>
          <w:tcPr>
            <w:tcW w:w="3020" w:type="dxa"/>
          </w:tcPr>
          <w:p w14:paraId="4537485C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51-70</w:t>
            </w:r>
          </w:p>
        </w:tc>
        <w:tc>
          <w:tcPr>
            <w:tcW w:w="2362" w:type="dxa"/>
          </w:tcPr>
          <w:p w14:paraId="74DFBD3F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Orta</w:t>
            </w:r>
          </w:p>
        </w:tc>
        <w:tc>
          <w:tcPr>
            <w:tcW w:w="3680" w:type="dxa"/>
          </w:tcPr>
          <w:p w14:paraId="466C1332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Geliştirici ve İyileştirici Faaliyet</w:t>
            </w:r>
          </w:p>
        </w:tc>
      </w:tr>
      <w:tr w:rsidR="005A1CC4" w:rsidRPr="0063394A" w14:paraId="071BCC47" w14:textId="77777777" w:rsidTr="0097342E">
        <w:tc>
          <w:tcPr>
            <w:tcW w:w="3020" w:type="dxa"/>
          </w:tcPr>
          <w:p w14:paraId="38D5D5DD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71-85</w:t>
            </w:r>
          </w:p>
        </w:tc>
        <w:tc>
          <w:tcPr>
            <w:tcW w:w="2362" w:type="dxa"/>
          </w:tcPr>
          <w:p w14:paraId="7E7A4D48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</w:t>
            </w:r>
          </w:p>
        </w:tc>
        <w:tc>
          <w:tcPr>
            <w:tcW w:w="3680" w:type="dxa"/>
          </w:tcPr>
          <w:p w14:paraId="34F3C6BB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İyileştirici Faaliyet</w:t>
            </w:r>
          </w:p>
        </w:tc>
      </w:tr>
      <w:tr w:rsidR="005A1CC4" w:rsidRPr="0063394A" w14:paraId="450123F7" w14:textId="77777777" w:rsidTr="0097342E">
        <w:tc>
          <w:tcPr>
            <w:tcW w:w="3020" w:type="dxa"/>
          </w:tcPr>
          <w:p w14:paraId="50787930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86-100</w:t>
            </w:r>
          </w:p>
        </w:tc>
        <w:tc>
          <w:tcPr>
            <w:tcW w:w="2362" w:type="dxa"/>
          </w:tcPr>
          <w:p w14:paraId="38CE0586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iyi</w:t>
            </w:r>
          </w:p>
        </w:tc>
        <w:tc>
          <w:tcPr>
            <w:tcW w:w="3680" w:type="dxa"/>
          </w:tcPr>
          <w:p w14:paraId="52B6AC69" w14:textId="77777777" w:rsidR="005A1CC4" w:rsidRPr="0063394A" w:rsidRDefault="005A1CC4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Sürdürülebilirliğin Sağlanması</w:t>
            </w:r>
          </w:p>
        </w:tc>
      </w:tr>
    </w:tbl>
    <w:p w14:paraId="57CDA32E" w14:textId="77777777" w:rsidR="005A1CC4" w:rsidRPr="0063394A" w:rsidRDefault="005A1CC4" w:rsidP="005A1CC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F9FD7F" w14:textId="77777777" w:rsidR="005A1CC4" w:rsidRDefault="005A1CC4" w:rsidP="005A1CC4">
      <w:pPr>
        <w:pStyle w:val="NormalWeb"/>
        <w:rPr>
          <w:rStyle w:val="Gl"/>
          <w:sz w:val="22"/>
          <w:szCs w:val="22"/>
        </w:rPr>
      </w:pPr>
    </w:p>
    <w:p w14:paraId="3F7EA630" w14:textId="77777777" w:rsidR="005A1CC4" w:rsidRDefault="005A1CC4" w:rsidP="00230C66">
      <w:pPr>
        <w:jc w:val="both"/>
        <w:rPr>
          <w:rFonts w:ascii="Times New Roman" w:hAnsi="Times New Roman" w:cs="Times New Roman"/>
        </w:rPr>
      </w:pPr>
    </w:p>
    <w:p w14:paraId="78BA49FD" w14:textId="77777777" w:rsidR="005A1CC4" w:rsidRPr="00B023FE" w:rsidRDefault="005A1CC4" w:rsidP="00230C66">
      <w:pPr>
        <w:jc w:val="both"/>
        <w:rPr>
          <w:rFonts w:ascii="Times New Roman" w:hAnsi="Times New Roman" w:cs="Times New Roman"/>
        </w:rPr>
      </w:pPr>
    </w:p>
    <w:sectPr w:rsidR="005A1CC4" w:rsidRPr="00B023FE" w:rsidSect="005D3C83">
      <w:headerReference w:type="default" r:id="rId6"/>
      <w:footerReference w:type="default" r:id="rId7"/>
      <w:pgSz w:w="11906" w:h="16838"/>
      <w:pgMar w:top="195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DA6F" w14:textId="77777777" w:rsidR="00217F99" w:rsidRDefault="00217F99" w:rsidP="00E65273">
      <w:pPr>
        <w:spacing w:after="0" w:line="240" w:lineRule="auto"/>
      </w:pPr>
      <w:r>
        <w:separator/>
      </w:r>
    </w:p>
  </w:endnote>
  <w:endnote w:type="continuationSeparator" w:id="0">
    <w:p w14:paraId="6E250F74" w14:textId="77777777" w:rsidR="00217F99" w:rsidRDefault="00217F99" w:rsidP="00E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5" w:type="dxa"/>
      <w:tblLook w:val="04A0" w:firstRow="1" w:lastRow="0" w:firstColumn="1" w:lastColumn="0" w:noHBand="0" w:noVBand="1"/>
    </w:tblPr>
    <w:tblGrid>
      <w:gridCol w:w="2290"/>
      <w:gridCol w:w="2407"/>
      <w:gridCol w:w="3208"/>
      <w:gridCol w:w="1830"/>
    </w:tblGrid>
    <w:tr w:rsidR="005D3C83" w:rsidRPr="005D3C83" w14:paraId="2C3463D7" w14:textId="77777777" w:rsidTr="00D37165">
      <w:tc>
        <w:tcPr>
          <w:tcW w:w="4697" w:type="dxa"/>
          <w:gridSpan w:val="2"/>
        </w:tcPr>
        <w:p w14:paraId="5BC92142" w14:textId="6328AE1C" w:rsidR="005D3C83" w:rsidRPr="005D3C83" w:rsidRDefault="005D3C83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bookmarkStart w:id="0" w:name="_Hlk197506166"/>
          <w:r w:rsidRPr="005D3C83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PP.1.4.FR.0004, R0, </w:t>
          </w:r>
          <w:proofErr w:type="spellStart"/>
          <w:r w:rsidRPr="005D3C83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Mayıs</w:t>
          </w:r>
          <w:proofErr w:type="spellEnd"/>
          <w:r w:rsidRPr="005D3C83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2026</w:t>
          </w:r>
        </w:p>
        <w:p w14:paraId="4E0DCCB9" w14:textId="77777777" w:rsidR="005D3C83" w:rsidRPr="00BD15D0" w:rsidRDefault="005D3C83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8"/>
              <w:szCs w:val="8"/>
              <w:lang w:val="en-US"/>
            </w:rPr>
          </w:pPr>
        </w:p>
      </w:tc>
      <w:tc>
        <w:tcPr>
          <w:tcW w:w="5038" w:type="dxa"/>
          <w:gridSpan w:val="2"/>
        </w:tcPr>
        <w:p w14:paraId="0273B6B1" w14:textId="77777777" w:rsidR="005D3C83" w:rsidRPr="005D3C83" w:rsidRDefault="00C975A2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r w:rsidRPr="005D3C83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begin"/>
          </w:r>
          <w:r w:rsidR="005D3C83" w:rsidRPr="005D3C83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instrText>PAGE  \* Arabic  \* MERGEFORMAT</w:instrText>
          </w:r>
          <w:r w:rsidRPr="005D3C83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separate"/>
          </w:r>
          <w:r w:rsidR="00BD15D0">
            <w:rPr>
              <w:rFonts w:ascii="Times New Roman" w:eastAsia="Calibri" w:hAnsi="Times New Roman" w:cs="Times New Roman"/>
              <w:noProof/>
              <w:color w:val="0D0D0D"/>
              <w:sz w:val="20"/>
              <w:szCs w:val="20"/>
              <w:lang w:val="en-US"/>
            </w:rPr>
            <w:t>5</w:t>
          </w:r>
          <w:r w:rsidRPr="005D3C83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end"/>
          </w:r>
          <w:r w:rsidR="005D3C83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/5</w:t>
          </w:r>
        </w:p>
      </w:tc>
    </w:tr>
    <w:tr w:rsidR="005D3C83" w:rsidRPr="005D3C83" w14:paraId="5B3C5381" w14:textId="77777777" w:rsidTr="00D37165">
      <w:trPr>
        <w:gridAfter w:val="1"/>
        <w:wAfter w:w="1830" w:type="dxa"/>
      </w:trPr>
      <w:tc>
        <w:tcPr>
          <w:tcW w:w="2290" w:type="dxa"/>
        </w:tcPr>
        <w:p w14:paraId="70E70A25" w14:textId="77777777" w:rsidR="005D3C83" w:rsidRPr="005D3C83" w:rsidRDefault="005D3C83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</w:p>
      </w:tc>
      <w:tc>
        <w:tcPr>
          <w:tcW w:w="5615" w:type="dxa"/>
          <w:gridSpan w:val="2"/>
        </w:tcPr>
        <w:p w14:paraId="6A7D1284" w14:textId="77777777" w:rsidR="005D3C83" w:rsidRPr="005D3C83" w:rsidRDefault="005D3C83" w:rsidP="006C74D0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</w:pPr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Bu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dokümanın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basılı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hâli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kontrolsüz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kabul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edilmektedir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.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Lütfen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web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sitesinden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en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son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versiyonuna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ulaşınız</w:t>
          </w:r>
          <w:proofErr w:type="spellEnd"/>
          <w:r w:rsidRPr="005D3C83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.</w:t>
          </w:r>
          <w:bookmarkEnd w:id="0"/>
        </w:p>
      </w:tc>
    </w:tr>
  </w:tbl>
  <w:p w14:paraId="345C57E0" w14:textId="77777777" w:rsidR="005D3C83" w:rsidRDefault="005D3C83">
    <w:pPr>
      <w:pStyle w:val="AltBilgi"/>
    </w:pPr>
  </w:p>
  <w:p w14:paraId="55A40850" w14:textId="77777777" w:rsidR="005D3C83" w:rsidRDefault="005D3C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E59B" w14:textId="77777777" w:rsidR="00217F99" w:rsidRDefault="00217F99" w:rsidP="00E65273">
      <w:pPr>
        <w:spacing w:after="0" w:line="240" w:lineRule="auto"/>
      </w:pPr>
      <w:r>
        <w:separator/>
      </w:r>
    </w:p>
  </w:footnote>
  <w:footnote w:type="continuationSeparator" w:id="0">
    <w:p w14:paraId="29568707" w14:textId="77777777" w:rsidR="00217F99" w:rsidRDefault="00217F99" w:rsidP="00E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2C4C" w14:textId="77777777" w:rsidR="00E65273" w:rsidRDefault="005D3C83" w:rsidP="00E6527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EA185A" wp14:editId="4DB510EE">
          <wp:simplePos x="0" y="0"/>
          <wp:positionH relativeFrom="column">
            <wp:posOffset>-242570</wp:posOffset>
          </wp:positionH>
          <wp:positionV relativeFrom="paragraph">
            <wp:posOffset>81280</wp:posOffset>
          </wp:positionV>
          <wp:extent cx="828675" cy="895350"/>
          <wp:effectExtent l="19050" t="0" r="9525" b="0"/>
          <wp:wrapNone/>
          <wp:docPr id="2092636734" name="Resim 2092636734" descr="logo1di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dik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5273">
      <w:tab/>
    </w:r>
    <w:r w:rsidR="00E65273">
      <w:tab/>
    </w:r>
  </w:p>
  <w:p w14:paraId="45FB5BD7" w14:textId="77777777" w:rsidR="005D3C83" w:rsidRPr="005D3C83" w:rsidRDefault="005D3C83" w:rsidP="005D3C83">
    <w:pPr>
      <w:pStyle w:val="stBilgi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5D3C83">
      <w:rPr>
        <w:rFonts w:ascii="Times New Roman" w:eastAsia="Calibri" w:hAnsi="Times New Roman" w:cs="Times New Roman"/>
        <w:b/>
        <w:bCs/>
        <w:sz w:val="24"/>
        <w:szCs w:val="24"/>
      </w:rPr>
      <w:t xml:space="preserve">   T.C.</w:t>
    </w:r>
  </w:p>
  <w:p w14:paraId="56FF273D" w14:textId="77777777" w:rsidR="005D3C83" w:rsidRPr="005D3C83" w:rsidRDefault="005D3C83" w:rsidP="005D3C83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5D3C83">
      <w:rPr>
        <w:rFonts w:ascii="Times New Roman" w:eastAsia="Calibri" w:hAnsi="Times New Roman" w:cs="Times New Roman"/>
        <w:b/>
        <w:bCs/>
        <w:sz w:val="24"/>
        <w:szCs w:val="24"/>
      </w:rPr>
      <w:t xml:space="preserve">   ORDU ÜNİVERSİTESİ</w:t>
    </w:r>
  </w:p>
  <w:p w14:paraId="15912ABA" w14:textId="77777777" w:rsidR="005D3C83" w:rsidRDefault="005D3C83" w:rsidP="005D3C83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5D3C83">
      <w:rPr>
        <w:rFonts w:ascii="Times New Roman" w:eastAsia="Calibri" w:hAnsi="Times New Roman" w:cs="Times New Roman"/>
        <w:b/>
        <w:bCs/>
        <w:sz w:val="24"/>
        <w:szCs w:val="24"/>
      </w:rPr>
      <w:t xml:space="preserve">   DİŞ HEKİMLİĞİ FAKÜLTESİ</w:t>
    </w:r>
  </w:p>
  <w:p w14:paraId="7D20D3B2" w14:textId="77777777" w:rsidR="005D3C83" w:rsidRPr="005D3C83" w:rsidRDefault="005D3C83" w:rsidP="005D3C83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MÜFREDAT </w:t>
    </w:r>
    <w:r w:rsidRPr="0063394A">
      <w:rPr>
        <w:rFonts w:ascii="Times New Roman" w:hAnsi="Times New Roman" w:cs="Times New Roman"/>
        <w:b/>
        <w:bCs/>
        <w:sz w:val="24"/>
        <w:szCs w:val="24"/>
      </w:rPr>
      <w:t>DEĞERLENDİRME ANKETİ</w:t>
    </w:r>
    <w:r>
      <w:rPr>
        <w:rFonts w:ascii="Times New Roman" w:hAnsi="Times New Roman" w:cs="Times New Roman"/>
        <w:b/>
        <w:bCs/>
        <w:sz w:val="24"/>
        <w:szCs w:val="24"/>
      </w:rPr>
      <w:t xml:space="preserve"> (EĞİTİCİ)</w:t>
    </w:r>
  </w:p>
  <w:p w14:paraId="6F66415B" w14:textId="77777777" w:rsidR="00E65273" w:rsidRDefault="00E652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FA8"/>
    <w:rsid w:val="00005FA8"/>
    <w:rsid w:val="0002497C"/>
    <w:rsid w:val="00046641"/>
    <w:rsid w:val="00063359"/>
    <w:rsid w:val="000A43DD"/>
    <w:rsid w:val="0010320E"/>
    <w:rsid w:val="001573C5"/>
    <w:rsid w:val="001A0ED5"/>
    <w:rsid w:val="001C43D4"/>
    <w:rsid w:val="001D144C"/>
    <w:rsid w:val="00217F99"/>
    <w:rsid w:val="00224D79"/>
    <w:rsid w:val="002257BB"/>
    <w:rsid w:val="00230C66"/>
    <w:rsid w:val="00254B4E"/>
    <w:rsid w:val="0027448C"/>
    <w:rsid w:val="00285A25"/>
    <w:rsid w:val="00285A9A"/>
    <w:rsid w:val="002A0274"/>
    <w:rsid w:val="002B2BCD"/>
    <w:rsid w:val="002C39F2"/>
    <w:rsid w:val="002E0FA0"/>
    <w:rsid w:val="0030309A"/>
    <w:rsid w:val="003117B9"/>
    <w:rsid w:val="00327270"/>
    <w:rsid w:val="00350FA8"/>
    <w:rsid w:val="003634B4"/>
    <w:rsid w:val="0036776E"/>
    <w:rsid w:val="003715FC"/>
    <w:rsid w:val="003E58CC"/>
    <w:rsid w:val="00420916"/>
    <w:rsid w:val="00486878"/>
    <w:rsid w:val="004B0A87"/>
    <w:rsid w:val="00543A90"/>
    <w:rsid w:val="00555F46"/>
    <w:rsid w:val="005A1CC4"/>
    <w:rsid w:val="005B521F"/>
    <w:rsid w:val="005D3C83"/>
    <w:rsid w:val="00660269"/>
    <w:rsid w:val="00662F0F"/>
    <w:rsid w:val="00673B1A"/>
    <w:rsid w:val="006B26F0"/>
    <w:rsid w:val="006D1BF7"/>
    <w:rsid w:val="00765A08"/>
    <w:rsid w:val="00777FDD"/>
    <w:rsid w:val="00792CB1"/>
    <w:rsid w:val="007E7A03"/>
    <w:rsid w:val="007F4494"/>
    <w:rsid w:val="007F46F3"/>
    <w:rsid w:val="00844321"/>
    <w:rsid w:val="00852747"/>
    <w:rsid w:val="008538B8"/>
    <w:rsid w:val="00865287"/>
    <w:rsid w:val="008664C7"/>
    <w:rsid w:val="00883730"/>
    <w:rsid w:val="008B1124"/>
    <w:rsid w:val="008F5D6F"/>
    <w:rsid w:val="0090203F"/>
    <w:rsid w:val="00916D5F"/>
    <w:rsid w:val="00966F4A"/>
    <w:rsid w:val="009A2138"/>
    <w:rsid w:val="009D6D10"/>
    <w:rsid w:val="009E2E52"/>
    <w:rsid w:val="009E531B"/>
    <w:rsid w:val="00A017AC"/>
    <w:rsid w:val="00A41BC0"/>
    <w:rsid w:val="00A9359B"/>
    <w:rsid w:val="00AB7CD3"/>
    <w:rsid w:val="00AC2DBE"/>
    <w:rsid w:val="00AF15E1"/>
    <w:rsid w:val="00AF3E24"/>
    <w:rsid w:val="00B023FE"/>
    <w:rsid w:val="00B13FBA"/>
    <w:rsid w:val="00B5108E"/>
    <w:rsid w:val="00BA76C0"/>
    <w:rsid w:val="00BC1CA5"/>
    <w:rsid w:val="00BD15D0"/>
    <w:rsid w:val="00C31685"/>
    <w:rsid w:val="00C34E5C"/>
    <w:rsid w:val="00C40A9E"/>
    <w:rsid w:val="00C6339B"/>
    <w:rsid w:val="00C975A2"/>
    <w:rsid w:val="00CB37DB"/>
    <w:rsid w:val="00CC7719"/>
    <w:rsid w:val="00CD2601"/>
    <w:rsid w:val="00CF10FF"/>
    <w:rsid w:val="00D37165"/>
    <w:rsid w:val="00D82603"/>
    <w:rsid w:val="00D876B1"/>
    <w:rsid w:val="00DA2F2C"/>
    <w:rsid w:val="00DC06D0"/>
    <w:rsid w:val="00DC1B64"/>
    <w:rsid w:val="00DC389E"/>
    <w:rsid w:val="00DC40A1"/>
    <w:rsid w:val="00DC5DA2"/>
    <w:rsid w:val="00DE0D07"/>
    <w:rsid w:val="00E37506"/>
    <w:rsid w:val="00E65273"/>
    <w:rsid w:val="00E67904"/>
    <w:rsid w:val="00E95C26"/>
    <w:rsid w:val="00EA2143"/>
    <w:rsid w:val="00EB53AC"/>
    <w:rsid w:val="00ED70D9"/>
    <w:rsid w:val="00F55F7B"/>
    <w:rsid w:val="00F96131"/>
    <w:rsid w:val="00FF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C57F1"/>
  <w15:docId w15:val="{33DEFBEA-F081-42DC-8EB4-E0AB698F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6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273"/>
  </w:style>
  <w:style w:type="paragraph" w:styleId="AltBilgi">
    <w:name w:val="footer"/>
    <w:basedOn w:val="Normal"/>
    <w:link w:val="AltBilgiChar"/>
    <w:uiPriority w:val="99"/>
    <w:unhideWhenUsed/>
    <w:rsid w:val="00E6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273"/>
  </w:style>
  <w:style w:type="paragraph" w:customStyle="1" w:styleId="Default">
    <w:name w:val="Default"/>
    <w:rsid w:val="00E65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030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23F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GÜLER</dc:creator>
  <cp:keywords/>
  <dc:description/>
  <cp:lastModifiedBy>Serap ARSLANTÜRK</cp:lastModifiedBy>
  <cp:revision>10</cp:revision>
  <dcterms:created xsi:type="dcterms:W3CDTF">2026-04-30T08:43:00Z</dcterms:created>
  <dcterms:modified xsi:type="dcterms:W3CDTF">2026-06-08T05:59:00Z</dcterms:modified>
</cp:coreProperties>
</file>